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451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52. Особенности производства по уголовным делам в отношении отдельных категорий лиц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 ред. Федерального закона от 24.07.2002 N 98-ФЗ)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В случае, когда уголовное дело было возбуждено либо привлечение лица в качестве обвиняемого состоялось в порядке, установленном статьей 448 настоящего Кодекса, после окончания предварительного расследования уголовное дело в отношении такого лица, за исключением случаев, предусмотренных статьей 452 настоящего Кодекса, направляется в суд, которому оно подсудно в соответствии с подсудностью, установленной статьями 31 - 36 настоящего Кодекса.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451</dc:title>
  <dc:creator>АРБИТРАЖ! · arbi.ru</dc:creator>
  <cp:lastModifiedBy>АРБИТРАЖ!</cp:lastModifiedBy>
  <dcterms:created xsi:type="dcterms:W3CDTF">2026-11-08T03:19:43.922Z</dcterms:created>
</cp:coreProperties>
</file>