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462.1</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54. Выдача лица для уголовного преследования или исполнения приговора</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(введена Федеральным законом от 17.12.2009 N 324-ФЗ)</w:t>
      </w:r>
    </w:p>
    <w:p>
      <w:pPr>
        <w:spacing w:after="120"/>
        <w:ind w:firstLine="709"/>
      </w:pPr>
      <w:r>
        <w:rPr>
          <w:sz w:val="24"/>
        </w:rPr>
        <w:t xml:space="preserve">1. Российская Федерация в соответствии с международным договором Российской Федерации или на основе принципа взаимности может по соответствующему запросу разрешить иностранному государству осуществить транзитную перевозку по территории Российской Федерации лица, выданного третьим государством для уголовного преследования или исполнения приговора.</w:t>
      </w:r>
    </w:p>
    <w:p>
      <w:pPr>
        <w:spacing w:after="120"/>
        <w:ind w:firstLine="709"/>
      </w:pPr>
      <w:r>
        <w:rPr>
          <w:sz w:val="24"/>
        </w:rPr>
        <w:t xml:space="preserve">2. Решение по запросу о транзитной перевозке лица по территории Российской Федерации принимает Генеральный прокурор Российской Федерации или его заместитель.</w:t>
      </w:r>
    </w:p>
    <w:p>
      <w:pPr>
        <w:spacing w:after="120"/>
        <w:ind w:firstLine="709"/>
      </w:pPr>
      <w:r>
        <w:rPr>
          <w:sz w:val="24"/>
        </w:rPr>
        <w:t xml:space="preserve">3. Основанием для содержания под стражей лица при транзитной перевозке по территории Российской Федерации являются разрешение Генерального прокурора Российской Федерации или его заместителя на транзитную перевозку и решение судебного либо иного компетентного органа иностранного государства о заключении выданного лица под стражу.</w:t>
      </w:r>
    </w:p>
    <w:p>
      <w:pPr>
        <w:spacing w:after="120"/>
        <w:ind w:firstLine="709"/>
      </w:pPr>
      <w:r>
        <w:rPr>
          <w:sz w:val="24"/>
        </w:rPr>
        <w:t xml:space="preserve">4. В разрешении на транзитную перевозку по территории Российской Федерации может быть отказано при наличии оснований, предусмотренных статьей 464 настоящего Кодекса.</w:t>
      </w:r>
    </w:p>
    <w:p>
      <w:pPr>
        <w:spacing w:after="120"/>
        <w:ind w:firstLine="709"/>
      </w:pPr>
      <w:r>
        <w:rPr>
          <w:sz w:val="24"/>
        </w:rPr>
        <w:t xml:space="preserve">5. При транзитной перевозке воздушным путем разрешение на ее осуществление требуется только в случае промежуточной посадки воздушного судна на территории Российской Федерации. В этом случае запрос о транзитной перевозке лица по территории Российской Федерации рассматривается в общем порядке.</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462.1</dc:title>
  <dc:creator>АРБИТРАЖ! · arbi.ru</dc:creator>
  <cp:lastModifiedBy>АРБИТРАЖ!</cp:lastModifiedBy>
  <dcterms:created xsi:type="dcterms:W3CDTF">2026-11-08T05:39:59.701Z</dcterms:created>
</cp:coreProperties>
</file>