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56. Порядок использования электронных документов и бланков процессуальных документов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Утратил силу. - Федеральный закон от 05.06.2007 N 87-ФЗ.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Процессуальные документы могут быть выполнены типографским, электронным или иным способом. В случае отсутствия бланков процессуальных документов, выполненных типографским, электронным или иным способом, они могут быть написаны от руки.</w:t>
      </w:r>
    </w:p>
    <w:p>
      <w:pPr>
        <w:spacing w:after="120"/>
        <w:ind w:firstLine="709"/>
      </w:pPr>
      <w:r>
        <w:rPr>
          <w:sz w:val="24"/>
        </w:rPr>
        <w:t xml:space="preserve">3 - 4. Утратили силу. - Федеральный закон от 05.06.2007 N 87-ФЗ.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474</dc:title>
  <dc:creator>АРБИТРАЖ! · arbi.ru</dc:creator>
  <cp:lastModifiedBy>АРБИТРАЖ!</cp:lastModifiedBy>
  <dcterms:created xsi:type="dcterms:W3CDTF">2026-11-08T09:34:47.749Z</dcterms:created>
</cp:coreProperties>
</file>