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Земельное законодательство регулирует отношения по использованию и охране земель в Российской Федерации как основы жизни и деятельности народов, проживающих на соответствующей территории (земельные отношения).</w:t>
      </w:r>
    </w:p>
    <w:p>
      <w:pPr>
        <w:spacing w:after="120"/>
        <w:ind w:firstLine="709"/>
      </w:pPr>
      <w:r>
        <w:rPr>
          <w:sz w:val="24"/>
        </w:rPr>
        <w:t xml:space="preserve">2. К отношениям по использованию и охране недр, водных объектов, лесов, животного мира и иных природных ресурсов, охране окружающей среды, охране особо охраняемых природных территорий и объектов,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недрах, лесное, водное законодательство, законодательство о животном мире, об охране и использовании других природных ресурсов, об охране окружающей среды, об охране атмосферного воздуха, об особо охраняемых природных территориях и объектах, об охране объектов культурного наследия народов Российской Федерации, специальные федеральные законы.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14.07.2008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земельным отношениям нормы указанных отраслей законодательства применяются, если эти отношения не урегулированы земельным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3. Имущественные отношения по владению, пользованию и распоряжению земельными участками, а также по совершению сделок с ними регулируются гражданским законодательством, если иное не предусмотрено земельным, лесным, водным законодательством, законодательством о недрах, об охране окружающей среды, специальными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</dc:title>
  <dc:creator>АРБИТРАЖ! · arbi.ru</dc:creator>
  <cp:lastModifiedBy>АРБИТРАЖ!</cp:lastModifiedBy>
  <dcterms:created xsi:type="dcterms:W3CDTF">2026-10-23T17:55:58.535Z</dcterms:created>
</cp:coreProperties>
</file>