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Объектами земельных отношений являются:</w:t>
      </w:r>
    </w:p>
    <w:p>
      <w:pPr>
        <w:spacing w:after="120"/>
        <w:ind w:firstLine="709"/>
      </w:pPr>
      <w:r>
        <w:rPr>
          <w:sz w:val="24"/>
        </w:rPr>
        <w:t xml:space="preserve">1) земля как природный объект и природный ресурс;</w:t>
      </w:r>
    </w:p>
    <w:p>
      <w:pPr>
        <w:spacing w:after="120"/>
        <w:ind w:firstLine="709"/>
      </w:pPr>
      <w:r>
        <w:rPr>
          <w:sz w:val="24"/>
        </w:rPr>
        <w:t xml:space="preserve">2) земельные участки;</w:t>
      </w:r>
    </w:p>
    <w:p>
      <w:pPr>
        <w:spacing w:after="120"/>
        <w:ind w:firstLine="709"/>
      </w:pPr>
      <w:r>
        <w:rPr>
          <w:sz w:val="24"/>
        </w:rPr>
        <w:t xml:space="preserve">3) части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22.07.2008 N 141-ФЗ.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3 ст. 6 признан частично не соответствующим Конституции РФ ( Постановление КС РФ от 11.06.2024 N 29-П). О правовом регулировании до внесения соответствующих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3. 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 , могут создаваться искусственные земельные участки.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23.06.2014 N 171-ФЗ)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6</dc:title>
  <dc:creator>АРБИТРАЖ! · arbi.ru</dc:creator>
  <cp:lastModifiedBy>АРБИТРАЖ!</cp:lastModifiedBy>
  <dcterms:created xsi:type="dcterms:W3CDTF">2026-10-23T14:33:27.585Z</dcterms:created>
</cp:coreProperties>
</file>