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расторгнуть договор и возвратить лесной участок в связи с использованием арендатором лесного участка с существенными нарушениями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незаконным отказ в государственной регистрации права постоянного (бессрочного) пользования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расторгнуть договор и возвратить лесной участок в связи с использованием арендатором лесного участка с существенными нарушениями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изменить категорию или вид разрешенного использования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изменении основного вида разрешенного использования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организация) обжалует привлечение к ответственности за использование земельного участка не по целевому назначению</w:t>
      </w:r>
    </w:p>
    <w:p>
      <w:pPr>
        <w:spacing w:after="120"/>
        <w:ind w:firstLine="709"/>
      </w:pPr>
      <w:r>
        <w:rPr>
          <w:sz w:val="24"/>
        </w:rPr>
        <w:t xml:space="preserve">1. Земли в Российской Федерации по целевому назначению подразделяются на следующие категории:</w:t>
      </w:r>
    </w:p>
    <w:p>
      <w:pPr>
        <w:spacing w:after="120"/>
        <w:ind w:firstLine="709"/>
      </w:pPr>
      <w:r>
        <w:rPr>
          <w:sz w:val="24"/>
        </w:rPr>
        <w:t xml:space="preserve">1) земли сельскохозяйственного назначения ;</w:t>
      </w:r>
    </w:p>
    <w:p>
      <w:pPr>
        <w:spacing w:after="120"/>
        <w:ind w:firstLine="709"/>
      </w:pPr>
      <w:r>
        <w:rPr>
          <w:sz w:val="24"/>
        </w:rPr>
        <w:t xml:space="preserve">2) земли населенных пунктов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>
      <w:pPr>
        <w:spacing w:after="120"/>
        <w:ind w:firstLine="709"/>
      </w:pPr>
      <w:r>
        <w:rPr>
          <w:sz w:val="24"/>
        </w:rPr>
        <w:t xml:space="preserve">4) земли особо охраняемых территорий и объектов ;</w:t>
      </w:r>
    </w:p>
    <w:p>
      <w:pPr>
        <w:spacing w:after="120"/>
        <w:ind w:firstLine="709"/>
      </w:pPr>
      <w:r>
        <w:rPr>
          <w:sz w:val="24"/>
        </w:rPr>
        <w:t xml:space="preserve">5) земли лесного фонда ;</w:t>
      </w:r>
    </w:p>
    <w:p>
      <w:pPr>
        <w:spacing w:after="120"/>
        <w:ind w:firstLine="709"/>
      </w:pPr>
      <w:r>
        <w:rPr>
          <w:sz w:val="24"/>
        </w:rPr>
        <w:t xml:space="preserve">6) земли водного фонда ;</w:t>
      </w:r>
    </w:p>
    <w:p>
      <w:pPr>
        <w:spacing w:after="120"/>
        <w:ind w:firstLine="709"/>
      </w:pPr>
      <w:r>
        <w:rPr>
          <w:sz w:val="24"/>
        </w:rPr>
        <w:t xml:space="preserve">7) земли запаса .</w:t>
      </w:r>
    </w:p>
    <w:p>
      <w:pPr>
        <w:spacing w:after="120"/>
        <w:ind w:firstLine="709"/>
      </w:pPr>
      <w:r>
        <w:rPr>
          <w:sz w:val="24"/>
        </w:rPr>
        <w:t xml:space="preserve">2. Земли, указанные в пункте 1 настоящей статьи, используются в соответствии с установленным для них целевым назначением.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второй - четвертый утратили силу с 1 марта 2026 года. - Федеральный закон от 31.07.2025 N 295-ФЗ.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случаях, предусмотренных федеральными законами, законами и иными нормативными правовыми актами субъектов Российской Федерации, нормативными правовыми актами органов местного самоуправления, может быть установлен особый правовой режим использования земель указанных категорий.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27.06.2018 N 164-ФЗ)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</dc:title>
  <dc:creator>АРБИТРАЖ! · arbi.ru</dc:creator>
  <cp:lastModifiedBy>АРБИТРАЖ!</cp:lastModifiedBy>
  <dcterms:created xsi:type="dcterms:W3CDTF">2026-10-23T13:13:09.434Z</dcterms:created>
</cp:coreProperties>
</file>