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485-ФЗ)</w:t>
      </w:r>
    </w:p>
    <w:p>
      <w:pPr>
        <w:spacing w:after="120"/>
        <w:ind w:firstLine="709"/>
      </w:pPr>
      <w:r>
        <w:rPr>
          <w:sz w:val="24"/>
        </w:rPr>
        <w:t xml:space="preserve">Полномочия органов местного самоуправления и органов государственной власти субъекта Российской Федерации в области земельных отношений, установленные настоящим Кодексом,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самоуправления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10.1</dc:title>
  <dc:creator>АРБИТРАЖ! · arbi.ru</dc:creator>
  <cp:lastModifiedBy>АРБИТРАЖ!</cp:lastModifiedBy>
  <dcterms:created xsi:type="dcterms:W3CDTF">2026-10-23T08:21:47.286Z</dcterms:created>
</cp:coreProperties>
</file>