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Земли и земельные участки, которые подверглись загрязнению химическими веществами, в том числе радиоактивными, иными веществами и микроорганизмами, а также расположенные на них здания, сооружения используются в порядке , определенном Правительством Российской Федерации. На таких землях и земельных участках запрещаются производство и реализация сельскохозяйственной продукции.</w:t>
      </w:r>
    </w:p>
    <w:p/>
    <w:p>
      <w:pPr>
        <w:spacing w:after="120"/>
        <w:ind w:firstLine="709"/>
      </w:pPr>
      <w:r>
        <w:rPr>
          <w:sz w:val="24"/>
        </w:rPr>
        <w:t xml:space="preserve">Глава II.1. Виды разрешенного использования земельных участков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14</dc:title>
  <dc:creator>АРБИТРАЖ! · arbi.ru</dc:creator>
  <cp:lastModifiedBy>АРБИТРАЖ!</cp:lastModifiedBy>
  <dcterms:created xsi:type="dcterms:W3CDTF">2026-10-23T03:08:49.102Z</dcterms:created>
</cp:coreProperties>
</file>