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ЗК РФ, ст. 14.4</w:t>
      </w:r>
    </w:p>
    <w:p>
      <w:pPr>
        <w:spacing w:after="120"/>
        <w:ind w:firstLine="709"/>
      </w:pPr>
      <w:r>
        <w:rPr>
          <w:sz w:val="24"/>
        </w:rPr>
        <w:t xml:space="preserve">Акт: Земельный кодекс Российской Федерации № 136-ФЗ</w:t>
      </w:r>
    </w:p>
    <w:p>
      <w:pPr>
        <w:spacing w:after="120"/>
        <w:ind w:firstLine="709"/>
      </w:pPr>
      <w:r>
        <w:rPr>
          <w:sz w:val="24"/>
        </w:rPr>
        <w:t xml:space="preserve">Источник: https://www.consultant.ru/document/cons_doc_LAW_33773/</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(введена Федеральным законом от 31.07.2025 N 295-ФЗ)</w:t>
      </w:r>
    </w:p>
    <w:p>
      <w:pPr>
        <w:spacing w:after="120"/>
        <w:ind w:firstLine="709"/>
      </w:pPr>
      <w:r>
        <w:rPr>
          <w:sz w:val="24"/>
        </w:rPr>
        <w:t xml:space="preserve">1. Любой основной или вспомогательный вид разрешенного использования из установленных регламентами использования земель для соответствующих территориальной зоны, особо охраняемой природной территории или ее функциональной зоны (при наличии), лесничества выбирается правообладателем земельного участка без разрешений и согласований, если иное не предусмотрено настоящей статьей.</w:t>
      </w:r>
    </w:p>
    <w:p>
      <w:pPr>
        <w:spacing w:after="120"/>
        <w:ind w:firstLine="709"/>
      </w:pPr>
      <w:r>
        <w:rPr>
          <w:sz w:val="24"/>
        </w:rPr>
        <w:t xml:space="preserve">2. Для выбора основного вида разрешенного использования земельного участка из видов разрешенного использования земельных участков, установленных регламентами использования земель, правообладатель земельного участка обязан направить заявление о внесении в Единый государственный реестр недвижимости сведений о выбранных виде или видах разрешенного использования земельного участка в орган регистрации прав. Направление указанного заявления не требуется в случае, если правообладатель земельного участка планирует или осуществляет его использование в соответствии с основным видом или видами разрешенного использования земельного участка, сведения о которых внесены в Единый государственный реестр недвижимости в отношении земельного участка.</w:t>
      </w:r>
    </w:p>
    <w:p>
      <w:pPr>
        <w:spacing w:after="120"/>
        <w:ind w:firstLine="709"/>
      </w:pPr>
      <w:r>
        <w:rPr>
          <w:sz w:val="24"/>
        </w:rPr>
        <w:t xml:space="preserve">3. Лицо, которому земельный участок, находящийся в государственной или муниципальной собственности, предоставлен в аренду или безвозмездное пользование, не вправе выбирать иной вид разрешенного использования земельного участка, чем предусмотренный договором аренды земельного участка или договором безвозмездного пользования земельным участком. Данное положение не применяется к арендатору земельного участка, с которым заключен договор о комплексном развитии территории либо который обеспечивает в соответствии с Градостроительным кодексом Российской Федерации реализацию решения о комплексном развитии территории в период действия указанных договора и (или) решения.</w:t>
      </w:r>
    </w:p>
    <w:p>
      <w:pPr>
        <w:spacing w:after="120"/>
        <w:ind w:firstLine="709"/>
      </w:pPr>
      <w:r>
        <w:rPr>
          <w:sz w:val="24"/>
        </w:rPr>
        <w:t xml:space="preserve">4. Государственное и муниципальное учреждение (бюджетное, казенное, автономное), казенное предприятие вправе выбрать основной вид или виды разрешенного использования предоставленных им земельных участков из видов разрешенного использования земельных участков, предусмотренных регламентами использования земель, если выбираемые основной вид или виды разрешенного использования земельных участков соответствуют целям деятельности, указанным в учредительных документах таких учреждения, предприятия. В этом случае решение об изменении вида разрешенного использования земельного участка, предоставленного в постоянное (бессрочное) пользование, принимается органом государственной власти или органом местного самоуправления, предусмотренными статьей 39.2 настоящего Кодекса, в срок не более тридцати дней со дня поступления заявления о выборе вида разрешенного использования земельного участка от государственного или муниципального учреждения, казенного предприятия. Данное решение является основанием для внесения изменений в сведения Единого государственного реестра недвижимости о виде разрешенного использования земельного участка.</w:t>
      </w:r>
    </w:p>
    <w:p>
      <w:pPr>
        <w:spacing w:after="120"/>
        <w:ind w:firstLine="709"/>
      </w:pPr>
      <w:r>
        <w:rPr>
          <w:sz w:val="24"/>
        </w:rPr>
        <w:t xml:space="preserve">5. В случае, если регламентами использования земель установлен условно разрешенный вид использования земельных участков, правообладатель земельного участка, за исключением арендатора земельного участка, вправе использовать земельный участок в соответствии с указанным видом только после предоставления разрешения на условно разрешенный вид использования земельного участка в порядке, установленном федеральным законом, и внесения в отношении земельного участка сведений об указанном виде разрешенного использования земельного участка в Единый государственный реестр недвижимости.</w:t>
      </w:r>
    </w:p>
    <w:p>
      <w:pPr>
        <w:spacing w:after="120"/>
        <w:ind w:firstLine="709"/>
      </w:pPr>
      <w:r>
        <w:rPr>
          <w:sz w:val="24"/>
        </w:rPr>
        <w:t xml:space="preserve">6. В случае, если в соответствии с пунктом 5 статьи 14.2 настоящего Кодекса виды разрешенного использования земельного участка устанавливаются документацией по планировке территории, правообладатель земельного участка вправе осуществлять выбор вида его разрешенного использования только из видов разрешенного использования земельных участков, установленных документацией по планировке территории для этого земельного участка.</w:t>
      </w:r>
    </w:p>
    <w:p>
      <w:pPr>
        <w:spacing w:after="120"/>
        <w:ind w:firstLine="709"/>
      </w:pPr>
      <w:r>
        <w:rPr>
          <w:sz w:val="24"/>
        </w:rPr>
        <w:t xml:space="preserve">7. В случае, если в соответствии с пунктом 2 статьи 11.11 настоящего Кодекса видом разрешенного использования образуемых земельных участков признаются виды разрешенного использования таких земельных участков, предусмотренные проектом межевания территории, выбор иных видов разрешенного использования земельных участков может осуществляться правообладателем земельного участка в соответствии с настоящей статьей после возникновения прав на образуемый земельный участок с учетом ограничений, предусмотренных пунктами 2 - 4 и 8 - 11 настоящей статьи.</w:t>
      </w:r>
    </w:p>
    <w:p>
      <w:pPr>
        <w:spacing w:after="120"/>
        <w:ind w:firstLine="709"/>
      </w:pPr>
      <w:r>
        <w:rPr>
          <w:sz w:val="24"/>
        </w:rPr>
        <w:t xml:space="preserve">8. Правообладатель земельного участка, расположенного в соответствии с утвержденной документацией по планировке территории в границах зоны планируемого размещения объекта федерального, регионального или местного значения, не вправе выбирать иной вид разрешенного использования земельного участка, чем предусмотренный для размещения указанного объекта, если иное не установлено настоящим Кодексом, другими федеральными законами. Положения настоящего пункта не распространяются на случаи, если размещение объекта федерального, регионального или местного значения допускается на условиях публичного сервитута, устанавливаемого в соответствии с главой V.7 настоящего Кодекса.</w:t>
      </w:r>
    </w:p>
    <w:p>
      <w:pPr>
        <w:spacing w:after="120"/>
        <w:ind w:firstLine="709"/>
      </w:pPr>
      <w:r>
        <w:rPr>
          <w:sz w:val="24"/>
        </w:rPr>
        <w:t xml:space="preserve">9. Правообладатель земельного участка, использование которого в соответствии с утвержденной документацией по планировке территории предусматривается в иных целях, чем жилищное строительство, не вправе выбирать вид разрешенного использования земельного участка, предусматривающий строительство многоквартирных домов, в том числе в случае, если жилищное строительство допускается градостроительным регламентом.</w:t>
      </w:r>
    </w:p>
    <w:p>
      <w:pPr>
        <w:spacing w:after="120"/>
        <w:ind w:firstLine="709"/>
      </w:pPr>
      <w:r>
        <w:rPr>
          <w:sz w:val="24"/>
        </w:rPr>
        <w:t xml:space="preserve">10. Органы государственной власти и органы местного самоуправления, предусмотренные статьей 39.2 настоящего Кодекса, при подготовке, организации и проведении аукциона по продаже земельного участка, находящегося в государственной или муниципальной собственности, или на право заключения договора аренды такого земельного участка обязаны указать в решении о проведении соответствующего аукциона один или несколько основных видов разрешенного использования земельного участка из видов, установленных регламентами использования земель. В случае, если применительно к земельному участку в Едином государственном реестре недвижимости отсутствуют сведения об одном или о нескольких видах разрешенного использования, данные органы государственной власти или органы местного самоуправления обязаны обеспечить внесение указанных сведений в Единый государственный реестр недвижимости до опубликования извещения о проведении соответствующего аукциона.</w:t>
      </w:r>
    </w:p>
    <w:p>
      <w:pPr>
        <w:spacing w:after="120"/>
        <w:ind w:firstLine="709"/>
      </w:pPr>
      <w:r>
        <w:rPr>
          <w:sz w:val="24"/>
        </w:rPr>
        <w:t xml:space="preserve">11. В случаях проведения аукциона по продаже земельного участка, находящегося в государственной или муниципальной собственности, или на право заключения договора аренды такого земельного участка в соответствии с пунктом 4 статьи 39.11 , пунктом 7 статьи 39.18 настоящего Кодекса в решении об утверждении схемы расположения земельного участка, в решении о проведении соответствующего аукциона указываются основной вид разрешенного использования земельного участка, соответствующий цели использования земельного участка, указанной в заявлении о проведении аукциона, заявлении о предварительном согласовании предоставления земельного участка, заявлении о предоставлении земельного участка, или основные виды разрешенного использования земельного участка, соответствующие данной цели, из видов разрешенного использования земельных участков, установленных регламентами использования земель.</w:t>
      </w:r>
    </w:p>
    <w:p>
      <w:pPr>
        <w:spacing w:after="120"/>
        <w:ind w:firstLine="709"/>
      </w:pPr>
      <w:r>
        <w:rPr>
          <w:sz w:val="24"/>
        </w:rPr>
        <w:t xml:space="preserve">12. Органы государственной власти и органы местного самоуправления, предусмотренные статьей 39.2 настоящего Кодекса, при предоставлении земельного участка, находящегося в государственной или муниципальной собственности, без проведения торгов указывают в решении о предварительном согласовании предоставления земельного участка, решении о предоставлении земельного участка или договоре:</w:t>
      </w:r>
    </w:p>
    <w:p>
      <w:pPr>
        <w:spacing w:after="120"/>
        <w:ind w:firstLine="709"/>
      </w:pPr>
      <w:r>
        <w:rPr>
          <w:sz w:val="24"/>
        </w:rPr>
        <w:t xml:space="preserve">1) основной вид или виды разрешенного использования земельного участка из видов разрешенного использования земельного участка, установленных регламентами использования земель, соответствующие целям использования земельного участка, для которых он предоставляется, за исключением случаев, предусмотренных подпунктами 2 и 3 настоящего пункта, пунктом 10 статьи 39.15 настоящего Кодекса;</w:t>
      </w:r>
    </w:p>
    <w:p>
      <w:pPr>
        <w:spacing w:after="120"/>
        <w:ind w:firstLine="709"/>
      </w:pPr>
      <w:r>
        <w:rPr>
          <w:sz w:val="24"/>
        </w:rPr>
        <w:t xml:space="preserve">2) основной вид или виды разрешенного использования земельного участка, установленные документацией по планировке территории в случае, если в соответствии с пунктом 5 статьи 14.2 настоящего Кодекса установление вида разрешенного использования земельного участка осуществляется такой документацией, или определенные при образовании земельного участка в соответствии с пунктом 2 статьи 11.11 настоящего Кодекса;</w:t>
      </w:r>
    </w:p>
    <w:p>
      <w:pPr>
        <w:spacing w:after="120"/>
        <w:ind w:firstLine="709"/>
      </w:pPr>
      <w:r>
        <w:rPr>
          <w:sz w:val="24"/>
        </w:rPr>
        <w:t xml:space="preserve">3) основной вид разрешенного использования земельного участка, предусматривающий осуществление пользования недрами независимо от регламента использования земель в случае предоставления земельного участка для указанной цели, при условии, что пользование недрами не противоречит целевому назначению земельного участка и в соответствии с настоящим Кодексом, другими федеральными законами не установлен запрет на осуществление пользования недрами в границах определенных зон, земель, территорий.</w:t>
      </w:r>
    </w:p>
    <w:p>
      <w:pPr>
        <w:spacing w:after="120"/>
        <w:ind w:firstLine="709"/>
      </w:pPr>
      <w:r>
        <w:rPr>
          <w:sz w:val="24"/>
        </w:rPr>
        <w:t xml:space="preserve">13. Выбор видов разрешенного использования земельных участков, находящихся в государственной или муниципальной собственности, в ином порядке, чем предусмотрено настоящей статьей, допускается в случаях, предусмотренных Федеральным законом от 1 мая 2016 года N 119-ФЗ "Об особенностях предоставления гражданам земельных участков, находящихся в государственной или муниципальной собственности и расположенных в Арктической зоне Российской Федерации и на других территориях Севера, Сибири и Дальнего Востока Российской Федерации, и о внесении изменений в отдельные законодательные акты Российской Федерации".</w:t>
      </w:r>
    </w:p>
    <w:p/>
    <w:p>
      <w:pPr>
        <w:spacing w:after="120"/>
        <w:ind w:firstLine="709"/>
      </w:pPr>
      <w:r>
        <w:rPr>
          <w:sz w:val="24"/>
        </w:rPr>
        <w:t xml:space="preserve">Глава III. Собственность на землю</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ЗК РФ, ст. 14.4</dc:title>
  <dc:creator>АРБИТРАЖ! · arbi.ru</dc:creator>
  <cp:lastModifiedBy>АРБИТРАЖ!</cp:lastModifiedBy>
  <dcterms:created xsi:type="dcterms:W3CDTF">2026-10-23T11:01:32.394Z</dcterms:created>
</cp:coreProperties>
</file>