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25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25 ЗК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ИП, организация) обжалует привлечение к ответственности за самовольное занятие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1. Права на земельные участки, предусмотренные главами III и IV настоящего Кодекса,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"О государственной регистрации недвижимости".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Государственная регистрация сделок с земельными участками обязательна в случаях, указанных в федеральных законах.</w:t>
      </w:r>
    </w:p>
    <w:p>
      <w:pPr>
        <w:spacing w:after="120"/>
        <w:ind w:firstLine="709"/>
      </w:pPr>
      <w:r>
        <w:rPr>
          <w:sz w:val="24"/>
        </w:rPr>
        <w:t xml:space="preserve">3. Не подлежат возврату земельные участки, не подлежит возмещению или компенсации стоимость земельных участков, которые были национализированы до 1 января 1991 года в соответствии с законодательством, действовавшим на момент национализации земельных участков.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25</dc:title>
  <dc:creator>АРБИТРАЖ! · arbi.ru</dc:creator>
  <cp:lastModifiedBy>АРБИТРАЖ!</cp:lastModifiedBy>
  <dcterms:created xsi:type="dcterms:W3CDTF">2026-10-23T08:07:01.519Z</dcterms:created>
</cp:coreProperties>
</file>