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26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26 ЗК РФ</w:t>
      </w:r>
    </w:p>
    <w:p>
      <w:pPr>
        <w:spacing w:after="120"/>
        <w:ind w:firstLine="709"/>
      </w:pPr>
      <w:r>
        <w:rPr>
          <w:sz w:val="24"/>
        </w:rPr>
        <w:t xml:space="preserve">- Истец хочет обязать ответчика освободить земельный участок, принадлежащий истцу на праве постоянного (бессрочного) пользования</w:t>
      </w:r>
    </w:p>
    <w:p>
      <w:pPr>
        <w:spacing w:after="120"/>
        <w:ind w:firstLine="709"/>
      </w:pPr>
      <w:r>
        <w:rPr>
          <w:sz w:val="24"/>
        </w:rPr>
        <w:t xml:space="preserve">1. Права на земельные участки, предусмотренные главами III и IV настоящего Кодекса, удостоверяются документами в порядке, установленном Федеральным законом "О государственной регистрации недвижимости".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26</dc:title>
  <dc:creator>АРБИТРАЖ! · arbi.ru</dc:creator>
  <cp:lastModifiedBy>АРБИТРАЖ!</cp:lastModifiedBy>
  <dcterms:created xsi:type="dcterms:W3CDTF">2026-10-23T08:21:14.141Z</dcterms:created>
</cp:coreProperties>
</file>