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1. При заключении договора купли-продажи земельного участка, находящегося в государственной или муниципальной собственности,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лицом, подавшим единственную заявку на участие в аукционе, с заявителем, признанным единственным участником аукциона, либо с единственным принявшим участие в аукционе его участником.</w:t>
      </w:r>
    </w:p>
    <w:p>
      <w:pPr>
        <w:spacing w:after="120"/>
        <w:ind w:firstLine="709"/>
      </w:pPr>
      <w:r>
        <w:rPr>
          <w:sz w:val="24"/>
        </w:rPr>
        <w:t xml:space="preserve">1.1. Цена земельного участка, установленная по результатам проведения торгов, не может быть оспорена отдельно от результатов торгов.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01.07.2021 N 273-ФЗ)</w:t>
      </w:r>
    </w:p>
    <w:p>
      <w:pPr>
        <w:spacing w:after="120"/>
        <w:ind w:firstLine="709"/>
      </w:pPr>
      <w:r>
        <w:rPr>
          <w:sz w:val="24"/>
        </w:rPr>
        <w:t xml:space="preserve">2. При заключении договора купли-продажи земельного участка, находящегося в государственной или муниципальной собственности, без проведения торгов цена такого земельного участка, если иное не установлено федеральными законами , определяется в порядке , установленном:</w:t>
      </w:r>
    </w:p>
    <w:p>
      <w:pPr>
        <w:spacing w:after="120"/>
        <w:ind w:firstLine="709"/>
      </w:pPr>
      <w:r>
        <w:rPr>
          <w:sz w:val="24"/>
        </w:rPr>
        <w:t xml:space="preserve">1) Правительством Российской Федерации, в отношении земельных участков, находящихся в федеральной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органом государственной власти субъекта Российской Федерации,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разграничена;</w:t>
      </w:r>
    </w:p>
    <w:p>
      <w:pPr>
        <w:spacing w:after="120"/>
        <w:ind w:firstLine="709"/>
      </w:pPr>
      <w:r>
        <w:rPr>
          <w:sz w:val="24"/>
        </w:rPr>
        <w:t xml:space="preserve">3) органом местного самоуправления, в отношении земельных участков, находящихся в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договора купли-продажи земельного участка, находящегося в государственной или муниципальной собственности,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4. Иностранным гражданам, лицам без гражданства, иностранным юридическим лицам земельные участки, находящиеся в государственной или муниципальной собственности, предоставляются в собственность исключительно за плату, размер которой устанавливается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</dc:title>
  <dc:creator>АРБИТРАЖ! · arbi.ru</dc:creator>
  <cp:lastModifiedBy>АРБИТРАЖ!</cp:lastModifiedBy>
  <dcterms:created xsi:type="dcterms:W3CDTF">2026-10-23T00:32:57.007Z</dcterms:created>
</cp:coreProperties>
</file>