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Обмен земельного участка, находящегося в государственной или муниципальной собственности, на земельный участок, находящийся в частной собственности, допускается при обмене:</w:t>
      </w:r>
    </w:p>
    <w:p>
      <w:pPr>
        <w:spacing w:after="120"/>
        <w:ind w:firstLine="709"/>
      </w:pPr>
      <w:r>
        <w:rPr>
          <w:sz w:val="24"/>
        </w:rPr>
        <w:t xml:space="preserve">1) земельного участка, находящегося в государственной или муниципальной собственности, на земельный участок, находящийся в частной собственности и изымаемый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2) земельного участка, находящегося в государственной или муниципальной собственности, на земельный участок,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земельного участка, находящегося в государственной или муниципальной собственности, на земельный участок, который находится в частной собственности и необходим для размещения объекта социальной инфраструктуры,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26.12.2024 N 494-ФЗ)</w:t>
      </w:r>
    </w:p>
    <w:p>
      <w:pPr>
        <w:spacing w:after="120"/>
        <w:ind w:firstLine="709"/>
      </w:pPr>
      <w:r>
        <w:rPr>
          <w:sz w:val="24"/>
        </w:rPr>
        <w:t xml:space="preserve">4) земельного участка, находящегося в государственной или муниципальной собственности, на земельный участок, который находится в частной собственности и необходим для размещения объектов или реализации масштабных инвестиционных проектов, указанных в подпунктах 2 и 3 пункта 2 статьи 39.6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26.12.2024 N 494-ФЗ)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39.21</dc:title>
  <dc:creator>АРБИТРАЖ! · arbi.ru</dc:creator>
  <cp:lastModifiedBy>АРБИТРАЖ!</cp:lastModifiedBy>
  <dcterms:created xsi:type="dcterms:W3CDTF">2026-10-23T07:27:44.014Z</dcterms:created>
</cp:coreProperties>
</file>