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39.22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Здания, сооружения, расположенные на земельных участках, являющихся предметом договора мены, также должны быть предметом этого договора мены.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земельный участок и расположенные на нем объекты социальной, инженерной и транспортной инфраструктур находятся в частной собственности одного лица, договор мены может предусматривать безвозмездную передачу в государственную или муниципальную собственность указанных объектов.</w:t>
      </w:r>
    </w:p>
    <w:p>
      <w:pPr>
        <w:spacing w:after="120"/>
        <w:ind w:firstLine="709"/>
      </w:pPr>
      <w:r>
        <w:rPr>
          <w:sz w:val="24"/>
        </w:rPr>
        <w:t xml:space="preserve">3. Различие видов разрешенного использования земельных участков не является препятствием для заключения договора мены таких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4.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имущества, за исключением объектов недвижимого имущества, передаваемых безвозмездно в государственную или муниципальную собственность,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5. При заключении договора мены земельных участков в соответствии с настоящей статьей цена обмениваемых земельных участков, в том числе с расположенными на них объектами недвижимого имущества (за исключением объектов недвижимого имущества, передаваемых безвозмездно в государственную или муниципальную собственность), должна быть равнозначной, за исключением случая, предусмотренного пунктом 6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В случае изъятия земельного участка, находящегося в частной собственности,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участок, который находится в государственной или муниципальной собственности и цена которого ниже выкупной цены изымаемого земельного участка. В этом случае собственнику, у которого изымается земельный участок, возмещается указанная разница в срок, не превышающий трех месяцев со дня перехода права собственности на изъятый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7. При заключении договора мены земельных участков в соответствии с настоящей статьей может осуществляться обмен одного или нескольких земельных участков, находящихся в государственной или муниципальной собственности, на один или несколько земельных участков, находящихся в частной собственности, при соблюдении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26.12.2024 N 494-ФЗ)</w:t>
      </w:r>
    </w:p>
    <w:p/>
    <w:p>
      <w:pPr>
        <w:spacing w:after="120"/>
        <w:ind w:firstLine="709"/>
      </w:pPr>
      <w:r>
        <w:rPr>
          <w:sz w:val="24"/>
        </w:rPr>
        <w:t xml:space="preserve">Глава V.3. Установление сервитута в отношении земельного участка, находящегося в государственной или муниципальной собственности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39.22</dc:title>
  <dc:creator>АРБИТРАЖ! · arbi.ru</dc:creator>
  <cp:lastModifiedBy>АРБИТРАЖ!</cp:lastModifiedBy>
  <dcterms:created xsi:type="dcterms:W3CDTF">2026-10-23T08:31:46.893Z</dcterms:created>
</cp:coreProperties>
</file>