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использование земель или земельных участков, находящихся в государственной или муниципальной собственности,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лица, которые пользовались такими землями или земельными участками, обязаны:</w:t>
      </w:r>
    </w:p>
    <w:p>
      <w:pPr>
        <w:spacing w:after="120"/>
        <w:ind w:firstLine="709"/>
      </w:pPr>
      <w:r>
        <w:rPr>
          <w:sz w:val="24"/>
        </w:rPr>
        <w:t xml:space="preserve">1) привести такие земли или земельные участки в состояние, пригодное для их использования в соответствии с разрешенным использованием;</w:t>
      </w:r>
    </w:p>
    <w:p>
      <w:pPr>
        <w:spacing w:after="120"/>
        <w:ind w:firstLine="709"/>
      </w:pPr>
      <w:r>
        <w:rPr>
          <w:sz w:val="24"/>
        </w:rPr>
        <w:t xml:space="preserve">2) выполнить необходимые работы по рекультивации таких земель или земельных участков.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39.35</dc:title>
  <dc:creator>АРБИТРАЖ! · arbi.ru</dc:creator>
  <cp:lastModifiedBy>АРБИТРАЖ!</cp:lastModifiedBy>
  <dcterms:created xsi:type="dcterms:W3CDTF">2026-10-23T21:43:35.043Z</dcterms:created>
</cp:coreProperties>
</file>