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39.45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03.08.2018 N 341-ФЗ)</w:t>
      </w:r>
    </w:p>
    <w:p>
      <w:pPr>
        <w:spacing w:after="120"/>
        <w:ind w:firstLine="709"/>
      </w:pPr>
      <w:r>
        <w:rPr>
          <w:sz w:val="24"/>
        </w:rPr>
        <w:t xml:space="preserve">Публичный сервитут устанавливается на срок, указанный в ходатайстве об установлении публичного сервитута, с учетом положений пункта 7 статьи 23 настоящего Кодекса и следующих ограничений:</w:t>
      </w:r>
    </w:p>
    <w:p>
      <w:pPr>
        <w:spacing w:after="120"/>
        <w:ind w:firstLine="709"/>
      </w:pPr>
      <w:r>
        <w:rPr>
          <w:sz w:val="24"/>
        </w:rPr>
        <w:t xml:space="preserve">1) от десяти до сорока девяти лет в случае установления публичного сервитута в целях, предусмотренных подпунктами 1 , 3 - 4.1 статьи 39.37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 срок строительства, реконструкции, ремонта инженерных сооружений, объектов транспортной инфраструктуры федерального, регионального или местного значения в случае установления публичного сервитута в целях, предусмотренных подпунктом 2 статьи 39.37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04.08.2023 N 430-ФЗ)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на срок не более одного года в случае установления публичного сервитута в целях, предусмотренных подпунктом 5 статьи 39.37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на срок реконструкции, капитального ремонта участков (частей) инженерных сооружений, являющихся линейными объектами, в случае установления публичного сервитута в целях, предусмотренных подпунктом 6 статьи 39.37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14.07.2022 N 284-ФЗ)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39.45</dc:title>
  <dc:creator>АРБИТРАЖ! · arbi.ru</dc:creator>
  <cp:lastModifiedBy>АРБИТРАЖ!</cp:lastModifiedBy>
  <dcterms:created xsi:type="dcterms:W3CDTF">2026-10-23T11:31:54.823Z</dcterms:created>
</cp:coreProperties>
</file>