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40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 земельного участка имеет право:</w:t>
      </w:r>
    </w:p>
    <w:p>
      <w:pPr>
        <w:spacing w:after="120"/>
        <w:ind w:firstLine="709"/>
      </w:pPr>
      <w:r>
        <w:rPr>
          <w:sz w:val="24"/>
        </w:rPr>
        <w:t xml:space="preserve">1) использовать в установленном порядке для собственных нужд имеющиеся на земельном участке общераспространенные полезные ископаемые, пресные подземные воды, а также пруды, обводненные карьеры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03.06.2006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возводить жилые, производственные, культурно-бытовые и иные здания,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осуществлять мелиоративные мероприятия, размещать пруды (в том числе образованные водоподпорными сооружениями на водотоках) и иные искусственные водные объекты в соответствии с установленными законодательством экологическими, строительными, санитарно-гигиеническими и иными специальными требованиями;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03.06.2006 N 73-ФЗ , от 01.07.2017 N 143-ФЗ , от 27.12.2019 N 477-ФЗ , от 13.06.2023 N 244-ФЗ , от 04.08.2023 N 438-ФЗ , от 23.07.2025 N 242-ФЗ , от 29.09.2025 N 363-ФЗ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осуществлять другие права на использование земельного участка, предусмотренные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2. Собственник земельного участка имеет право собственности на:</w:t>
      </w:r>
    </w:p>
    <w:p>
      <w:pPr>
        <w:spacing w:after="120"/>
        <w:ind w:firstLine="709"/>
      </w:pPr>
      <w:r>
        <w:rPr>
          <w:sz w:val="24"/>
        </w:rPr>
        <w:t xml:space="preserve">1) посевы и посадки сельскохозяйственных культур, полученную сельскохозяйственную продукцию и доходы от ее реализации, за исключением случаев, если он передает земельный участок в аренду, постоянное (бессрочное) пользование или пожизненное наследуемое владение либо безвозмездное пользование;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04.12.2006 N 201-ФЗ.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40</dc:title>
  <dc:creator>АРБИТРАЖ! · arbi.ru</dc:creator>
  <cp:lastModifiedBy>АРБИТРАЖ!</cp:lastModifiedBy>
  <dcterms:created xsi:type="dcterms:W3CDTF">2026-10-23T05:35:34.845Z</dcterms:created>
</cp:coreProperties>
</file>