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43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Граждане и юридические лица осуществляют принадлежащие им права на земельные участки по своему усмотрению, если иное не установлено настоящим Кодексом,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2. Отказ граждан и юридических лиц от осуществления принадлежащих им прав на земельные участки не влечет за собой прекращения их обязанностей, установленных статьей 42 настоящего Кодекса.</w:t>
      </w:r>
    </w:p>
    <w:p/>
    <w:p>
      <w:pPr>
        <w:spacing w:after="120"/>
        <w:ind w:firstLine="709"/>
      </w:pPr>
      <w:r>
        <w:rPr>
          <w:sz w:val="24"/>
        </w:rPr>
        <w:t xml:space="preserve">Глава VII. Прекращение и ограничение прав на землю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43</dc:title>
  <dc:creator>АРБИТРАЖ! · arbi.ru</dc:creator>
  <cp:lastModifiedBy>АРБИТРАЖ!</cp:lastModifiedBy>
  <dcterms:created xsi:type="dcterms:W3CDTF">2026-10-23T02:36:20.332Z</dcterms:created>
</cp:coreProperties>
</file>