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56.9</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Соглашение об изъятии недвижимости для государственных или муниципальных нужд содержит:</w:t>
      </w:r>
    </w:p>
    <w:p>
      <w:pPr>
        <w:spacing w:after="120"/>
        <w:ind w:firstLine="709"/>
      </w:pPr>
      <w:r>
        <w:rPr>
          <w:sz w:val="24"/>
        </w:rPr>
        <w:t xml:space="preserve">1) наименования лиц, являющихся сторонами соглашения об изъятии недвижимости;</w:t>
      </w:r>
    </w:p>
    <w:p>
      <w:pPr>
        <w:spacing w:after="120"/>
        <w:ind w:firstLine="709"/>
      </w:pPr>
      <w:r>
        <w:rPr>
          <w:sz w:val="24"/>
        </w:rPr>
        <w:t xml:space="preserve">2) кадастровые номера земельных участков и (или) расположенных на них объектов недвижимости, которые подлежат изъятию, или в случае отсутствия кадастровых номеров зданий, сооружений, помещений в них, объектов незавершенного строительства их условные номера, присвоенные в порядке, установленном в соответствии с Федеральным законом "О государственной регистрации недвижимости", а при отсутствии условных номеров иное описание этих зданий, сооружений, помещений в них, объектов незавершенного строительства;</w:t>
      </w:r>
    </w:p>
    <w:p>
      <w:pPr>
        <w:spacing w:after="120"/>
        <w:ind w:firstLine="709"/>
      </w:pPr>
      <w:r>
        <w:rPr>
          <w:sz w:val="24"/>
        </w:rPr>
        <w:t xml:space="preserve">(в ред. Федерального закона от 03.07.2016 N 361-ФЗ)</w:t>
      </w:r>
    </w:p>
    <w:p>
      <w:pPr>
        <w:spacing w:after="120"/>
        <w:ind w:firstLine="709"/>
      </w:pPr>
      <w:r>
        <w:rPr>
          <w:sz w:val="24"/>
        </w:rPr>
        <w:t xml:space="preserve">(см. текст в предыдущей редакции )</w:t>
      </w:r>
    </w:p>
    <w:p>
      <w:pPr>
        <w:spacing w:after="120"/>
        <w:ind w:firstLine="709"/>
      </w:pPr>
      <w:r>
        <w:rPr>
          <w:sz w:val="24"/>
        </w:rPr>
        <w:t xml:space="preserve">3) цель изъятия земельных участков и (или) расположенных на них объектов недвижимого имущества для государственных или муниципальных нужд;</w:t>
      </w:r>
    </w:p>
    <w:p>
      <w:pPr>
        <w:spacing w:after="120"/>
        <w:ind w:firstLine="709"/>
      </w:pPr>
      <w:r>
        <w:rPr>
          <w:sz w:val="24"/>
        </w:rPr>
        <w:t xml:space="preserve">4) реквизиты решения об изъятии земельных участков для государственных или муниципальных нужд;</w:t>
      </w:r>
    </w:p>
    <w:p>
      <w:pPr>
        <w:spacing w:after="120"/>
        <w:ind w:firstLine="709"/>
      </w:pPr>
      <w:r>
        <w:rPr>
          <w:sz w:val="24"/>
        </w:rPr>
        <w:t xml:space="preserve">5) права на земельные участки и (или) расположенные на них объекты недвижимого имущества, которые прекращаются и (или) возникают на основании соглашения об изъятии недвижимости;</w:t>
      </w:r>
    </w:p>
    <w:p>
      <w:pPr>
        <w:spacing w:after="120"/>
        <w:ind w:firstLine="709"/>
      </w:pPr>
      <w:r>
        <w:rPr>
          <w:sz w:val="24"/>
        </w:rPr>
        <w:t xml:space="preserve">6) срок передачи земельных участков и (или) расположенных на них объектов недвижимого имущества, подлежащих изъятию. При этом срок указанной передачи не может превышать шесть месяцев со дня прекращения прав прежнего правообладателя изымаемой недвижимости;</w:t>
      </w:r>
    </w:p>
    <w:p>
      <w:pPr>
        <w:spacing w:after="120"/>
        <w:ind w:firstLine="709"/>
      </w:pPr>
      <w:r>
        <w:rPr>
          <w:sz w:val="24"/>
        </w:rPr>
        <w:t xml:space="preserve">7) размер и порядок выплаты возмещения за изымаемые земельные участки и (или) расположенные на них объекты недвижимости;</w:t>
      </w:r>
    </w:p>
    <w:p>
      <w:pPr>
        <w:spacing w:after="120"/>
        <w:ind w:firstLine="709"/>
      </w:pPr>
      <w:r>
        <w:rPr>
          <w:sz w:val="24"/>
        </w:rPr>
        <w:t xml:space="preserve">8) указание на сооружения (в том числе сооружения, строительство которых не завершено), изъятие которых в соответствии с решением об изъятии не осуществляется, а также право, на котором собственник такого сооружения или лицо, которому такое сооружение принадлежит на иных правах, вправе использовать подлежащий изъятию земельный участок;</w:t>
      </w:r>
    </w:p>
    <w:p>
      <w:pPr>
        <w:spacing w:after="120"/>
        <w:ind w:firstLine="709"/>
      </w:pPr>
      <w:r>
        <w:rPr>
          <w:sz w:val="24"/>
        </w:rPr>
        <w:t xml:space="preserve">9) указание на сервитуты, публичные сервитуты, которые установлены в отношении земельного участка, подлежащего изъятию, и в соответствии с решением об изъятии подлежат сохранению;</w:t>
      </w:r>
    </w:p>
    <w:p>
      <w:pPr>
        <w:spacing w:after="120"/>
        <w:ind w:firstLine="709"/>
      </w:pPr>
      <w:r>
        <w:rPr>
          <w:sz w:val="24"/>
        </w:rPr>
        <w:t xml:space="preserve">(в ред. Федерального закона от 03.08.2018 N 341-ФЗ)</w:t>
      </w:r>
    </w:p>
    <w:p>
      <w:pPr>
        <w:spacing w:after="120"/>
        <w:ind w:firstLine="709"/>
      </w:pPr>
      <w:r>
        <w:rPr>
          <w:sz w:val="24"/>
        </w:rPr>
        <w:t xml:space="preserve">(см. текст в предыдущей редакции )</w:t>
      </w:r>
    </w:p>
    <w:p>
      <w:pPr>
        <w:spacing w:after="120"/>
        <w:ind w:firstLine="709"/>
      </w:pPr>
      <w:r>
        <w:rPr>
          <w:sz w:val="24"/>
        </w:rPr>
        <w:t xml:space="preserve">10) технические условия и сроки осуществления реконструкции инженерных сооружений в случае, если одновременно с изъятием земельных участков для государственных или муниципальных нужд осуществляется перенос сооружений, указанных в подпункте 1 статьи 39.37 настоящего Кодекса, принадлежащих правообладателям таких земельных участков с учетом ограничений в части включения технических условий, предусмотренных пунктом 8 настоящей статьи.</w:t>
      </w:r>
    </w:p>
    <w:p>
      <w:pPr>
        <w:spacing w:after="120"/>
        <w:ind w:firstLine="709"/>
      </w:pPr>
      <w:r>
        <w:rPr>
          <w:sz w:val="24"/>
        </w:rPr>
        <w:t xml:space="preserve">(пп. 10 введен Федеральным законом от 03.08.2018 N 341-ФЗ)</w:t>
      </w:r>
    </w:p>
    <w:p>
      <w:pPr>
        <w:spacing w:after="120"/>
        <w:ind w:firstLine="709"/>
      </w:pPr>
      <w:r>
        <w:rPr>
          <w:sz w:val="24"/>
        </w:rPr>
        <w:t xml:space="preserve">2. Соглашение об изъятии недвижимости заключается с каждым правообладателем земельного участка и (или) расположенного на нем объекта недвижимого имущества. Если лицу, с которым заключается соглашение об изъятии недвижимости, принадлежат земельный участок и расположенный на нем объект недвижимого имущества, соглашение об изъятии недвижимости заключается в отношении всех принадлежащих данному лицу и подлежащих изъятию объектов недвижимого имущества.</w:t>
      </w:r>
    </w:p>
    <w:p>
      <w:pPr>
        <w:spacing w:after="120"/>
        <w:ind w:firstLine="709"/>
      </w:pPr>
      <w:r>
        <w:rPr>
          <w:sz w:val="24"/>
        </w:rPr>
        <w:t xml:space="preserve">3. При наличии согласия лиц, у которых изымаются земельные участки и (или) расположенные на них объекты недвижимого имущества, в соглашении об изъятии недвижимости может быть предусмотрено предоставление им земельных участков и (или) иных объектов недвижимого имущества взамен изымаемых земельных участков и (или) расположенных на них объектов недвижимого имущества в соответствии с пунктами 4 и 5 настоящей статьи.</w:t>
      </w:r>
    </w:p>
    <w:p>
      <w:pPr>
        <w:spacing w:after="120"/>
        <w:ind w:firstLine="709"/>
      </w:pPr>
      <w:r>
        <w:rPr>
          <w:sz w:val="24"/>
        </w:rPr>
        <w:t xml:space="preserve">4. В случае, предусмотренном пунктом 3 настоящей статьи, в соглашении об изъятии недвижимости указываются:</w:t>
      </w:r>
    </w:p>
    <w:p>
      <w:pPr>
        <w:spacing w:after="120"/>
        <w:ind w:firstLine="709"/>
      </w:pPr>
      <w:r>
        <w:rPr>
          <w:sz w:val="24"/>
        </w:rPr>
        <w:t xml:space="preserve">1) кадастровые номера земельных участков, передаваемых или предоставляемых взамен изымаемых земельных участков;</w:t>
      </w:r>
    </w:p>
    <w:p>
      <w:pPr>
        <w:spacing w:after="120"/>
        <w:ind w:firstLine="709"/>
      </w:pPr>
      <w:r>
        <w:rPr>
          <w:sz w:val="24"/>
        </w:rPr>
        <w:t xml:space="preserve">2) рыночная стоимость земельных участков и (или) расположенных на них объектов недвижимого имущества, передаваемых или предоставляемых на праве собственности взамен изымаемых земельных участков и (или) расположенных на них объектов недвижимого имущества;</w:t>
      </w:r>
    </w:p>
    <w:p>
      <w:pPr>
        <w:spacing w:after="120"/>
        <w:ind w:firstLine="709"/>
      </w:pPr>
      <w:r>
        <w:rPr>
          <w:sz w:val="24"/>
        </w:rPr>
        <w:t xml:space="preserve">3) рыночная стоимость иных прав, на которых предоставляются земельные участки взамен изымаемых земельных участков;</w:t>
      </w:r>
    </w:p>
    <w:p>
      <w:pPr>
        <w:spacing w:after="120"/>
        <w:ind w:firstLine="709"/>
      </w:pPr>
      <w:r>
        <w:rPr>
          <w:sz w:val="24"/>
        </w:rPr>
        <w:t xml:space="preserve">4) срок передачи объектов недвижимого имущества взамен изымаемых земельных участков и (или) расположенных на них объектов недвижимого имущества;</w:t>
      </w:r>
    </w:p>
    <w:p>
      <w:pPr>
        <w:spacing w:after="120"/>
        <w:ind w:firstLine="709"/>
      </w:pPr>
      <w:r>
        <w:rPr>
          <w:sz w:val="24"/>
        </w:rPr>
        <w:t xml:space="preserve">5) разница между размером возмещения за изымаемые земельные участки и (или) расположенные на них объекты недвижимости и рыночной стоимостью передаваемых или предоставляемых взамен объектов недвижимого имущества, прав на них, порядок оплаты такой разницы лицу, у которого изымаются земельные участки и (или) расположенные на них объекты недвижимости. Размер возмещения уменьшается на величину, равную рыночной стоимости земельных участков и (или) иных объектов недвижимого имущества, передаваемых или предоставляемых в собственность взамен изымаемых земельных участков и (или) расположенных на них объектов недвижимого имущества, или рыночной стоимости иных прав, на которых предоставляются земельные участки и (или) иные объекты недвижимого имущества взамен изымаемых объектов недвижимого имущества.</w:t>
      </w:r>
    </w:p>
    <w:p>
      <w:pPr>
        <w:spacing w:after="120"/>
        <w:ind w:firstLine="709"/>
      </w:pPr>
      <w:r>
        <w:rPr>
          <w:sz w:val="24"/>
        </w:rPr>
        <w:t xml:space="preserve">5. Соглашением об изъятии недвижимости может быть предусмотрена обязанность организации, подавшей ходатайство об изъятии, на основании которого принято решение об изъятии, передать в собственность лицу, чьи земельные участки и (или) расположенные на них объекты недвижимого имущества изымаются для государственных или муниципальных нужд, иные объекты недвижимого имущества взамен изымаемых земельных участков и (или) расположенных на них объектов недвижимого имущества. При этом в соглашении об изъятии недвижимости указываются кадастровые номера объектов недвижимого имущества, передаваемого взамен изымаемых объектов недвижимого имущества, рыночная стоимость таких объектов, срок их передачи. Размер возмещения за изымаемые земельные участки и (или) расположенные на них объекты недвижимого имущества уменьшается на величину, равную рыночной стоимости передаваемых объектов недвижимого имущества.</w:t>
      </w:r>
    </w:p>
    <w:p>
      <w:pPr>
        <w:spacing w:after="120"/>
        <w:ind w:firstLine="709"/>
      </w:pPr>
      <w:r>
        <w:rPr>
          <w:sz w:val="24"/>
        </w:rPr>
        <w:t xml:space="preserve">6. В случае, если подлежащие изъятию земельные участки предстоит образовать путем перераспределения земель или земельных участков, находящихся в государственной или муниципальной собственности, и земельных участков, принадлежащих гражданину или юридическому лицу, соглашение об изъятии недвижимости должно предусматривать условия такого перераспределения, включая размер возмещения и порядок его предоставления за изымаемые земельные участки и (или) расположенные на них объекты недвижимого имущества.</w:t>
      </w:r>
    </w:p>
    <w:p>
      <w:pPr>
        <w:spacing w:after="120"/>
        <w:ind w:firstLine="709"/>
      </w:pPr>
      <w:r>
        <w:rPr>
          <w:sz w:val="24"/>
        </w:rPr>
        <w:t xml:space="preserve">При этом в размер возмещения за изымаемый земельный участок включается разница между рыночной стоимостью исходного земельного участка, принадлежащего гражданину или юридическому лицу, и рыночной стоимостью образуемого земельного участка, на который в соответствии с соглашением об изъятии недвижимости возникает право собственности данных гражданина или юридического лица, если в результате такого перераспределения рыночная стоимость образованного земельного участка уменьшается.</w:t>
      </w:r>
    </w:p>
    <w:p>
      <w:pPr>
        <w:spacing w:after="120"/>
        <w:ind w:firstLine="709"/>
      </w:pPr>
      <w:r>
        <w:rPr>
          <w:sz w:val="24"/>
        </w:rPr>
        <w:t xml:space="preserve">7. К соглашению об изъятии недвижимости, предусматривающему изъятие земельных участков и (или) расположенных на них объектов недвижимого имущества путем предоставления возмещения за них собственнику или обмена на иное недвижимое имущество, применяются правила гражданского законодательства о купле-продаже или мене.</w:t>
      </w:r>
    </w:p>
    <w:p>
      <w:pPr>
        <w:spacing w:after="120"/>
        <w:ind w:firstLine="709"/>
      </w:pPr>
      <w:r>
        <w:rPr>
          <w:sz w:val="24"/>
        </w:rPr>
        <w:t xml:space="preserve">8. В случае, если в связи с изъятием земельного участка для государственных или муниципальных нужд осуществляется перенос инженерного сооружения, указанного в подпункте 1 статьи 39.37 настоящего Кодекса и размещенного на основании сервитута, публичного сервитута или в соответствии со статьей 39.36 настоящего Кодекса, с правообладателем указанного инженерного сооружения лицом, по ходатайству которого принято решение об изъятии земельного участка для государственных или муниципальных нужд, заключается соглашение о реконструкции указанного инженерного сооружения. Такое соглашение должно предусматривать технические условия осуществления его реконструкции, срок реконструкции, размер возмещения, которое выплачивается правообладателю указанного инженерного сооружения, либо обязательство стороны, заключившей соглашение об изъятии недвижимости, осуществить такую реконструкцию за счет своих средств. К указанному соглашению прилагается описание местоположения границ публичного сервитута.</w:t>
      </w:r>
    </w:p>
    <w:p>
      <w:pPr>
        <w:spacing w:after="120"/>
        <w:ind w:firstLine="709"/>
      </w:pPr>
      <w:r>
        <w:rPr>
          <w:sz w:val="24"/>
        </w:rPr>
        <w:t xml:space="preserve">(п. 8 введен Федеральным законом от 03.08.2018 N 341-ФЗ)</w:t>
      </w:r>
    </w:p>
    <w:p>
      <w:pPr>
        <w:spacing w:after="120"/>
        <w:ind w:firstLine="709"/>
      </w:pPr>
      <w:r>
        <w:rPr>
          <w:sz w:val="24"/>
        </w:rPr>
        <w:t xml:space="preserve">9. Не допускается включать в технические условия реконструкции инженерного сооружения требования, исполнение которых ведет к изменению мощности и (или) иных технических характеристик такого инженерного сооружения, за исключением следующих случаев:</w:t>
      </w:r>
    </w:p>
    <w:p>
      <w:pPr>
        <w:spacing w:after="120"/>
        <w:ind w:firstLine="709"/>
      </w:pPr>
      <w:r>
        <w:rPr>
          <w:sz w:val="24"/>
        </w:rPr>
        <w:t xml:space="preserve">1) изменение мощности и (или) иных технических характеристик инженерного сооружения не приведет к увеличению расходов на выполнение работ по реконструкции по сравнению с расходами на выполнение работ без такого изменения;</w:t>
      </w:r>
    </w:p>
    <w:p>
      <w:pPr>
        <w:spacing w:after="120"/>
        <w:ind w:firstLine="709"/>
      </w:pPr>
      <w:r>
        <w:rPr>
          <w:sz w:val="24"/>
        </w:rPr>
        <w:t xml:space="preserve">2) невыполнение таких требований приведет к нарушению требований технических регламентов.</w:t>
      </w:r>
    </w:p>
    <w:p>
      <w:pPr>
        <w:spacing w:after="120"/>
        <w:ind w:firstLine="709"/>
      </w:pPr>
      <w:r>
        <w:rPr>
          <w:sz w:val="24"/>
        </w:rPr>
        <w:t xml:space="preserve">(п. 9 введен Федеральным законом от 03.08.2018 N 341-ФЗ)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56.9</dc:title>
  <dc:creator>АРБИТРАЖ! · arbi.ru</dc:creator>
  <cp:lastModifiedBy>АРБИТРАЖ!</cp:lastModifiedBy>
  <dcterms:created xsi:type="dcterms:W3CDTF">2026-10-23T09:32:00.314Z</dcterms:created>
</cp:coreProperties>
</file>