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60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60 ЗК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Собственник (заинтересованное лицо) хочет устранить препятствия в пользовании земельным участком</w:t>
      </w:r>
    </w:p>
    <w:p>
      <w:pPr>
        <w:spacing w:after="120"/>
        <w:ind w:firstLine="709"/>
      </w:pPr>
      <w:r>
        <w:rPr>
          <w:sz w:val="24"/>
        </w:rPr>
        <w:t xml:space="preserve">- Собственник земельного участка (заинтересованное лицо) хочет истребовать участок из чужого незаконного владения</w:t>
      </w:r>
    </w:p>
    <w:p>
      <w:pPr>
        <w:spacing w:after="120"/>
        <w:ind w:firstLine="709"/>
      </w:pPr>
      <w:r>
        <w:rPr>
          <w:sz w:val="24"/>
        </w:rPr>
        <w:t xml:space="preserve">- Лицо, в пользу которого установлен сервитут, хочет устранить препятствия в пользовании сервитутом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Истец просит демонтировать самовольно размещенный некапитальный объект с земельного участка</w:t>
      </w:r>
    </w:p>
    <w:p>
      <w:pPr>
        <w:spacing w:after="120"/>
        <w:ind w:firstLine="709"/>
      </w:pPr>
      <w:r>
        <w:rPr>
          <w:sz w:val="24"/>
        </w:rPr>
        <w:t xml:space="preserve">- Истец хочет истребовать земельный участок из чужого незаконного владения</w:t>
      </w:r>
    </w:p>
    <w:p>
      <w:pPr>
        <w:spacing w:after="120"/>
        <w:ind w:firstLine="709"/>
      </w:pPr>
      <w:r>
        <w:rPr>
          <w:sz w:val="24"/>
        </w:rPr>
        <w:t xml:space="preserve">1. Нарушенное право на земельный участок подлежит восстановлению в случаях:</w:t>
      </w:r>
    </w:p>
    <w:p>
      <w:pPr>
        <w:spacing w:after="120"/>
        <w:ind w:firstLine="709"/>
      </w:pPr>
      <w:r>
        <w:rPr>
          <w:sz w:val="24"/>
        </w:rPr>
        <w:t xml:space="preserve">1) признания судом недействительным акта исполнительного органа государственной власти или акта органа местного самоуправления, повлекших за собой нарушение права на земельный участок;</w:t>
      </w:r>
    </w:p>
    <w:p>
      <w:pPr>
        <w:spacing w:after="120"/>
        <w:ind w:firstLine="709"/>
      </w:pPr>
      <w:r>
        <w:rPr>
          <w:sz w:val="24"/>
        </w:rPr>
        <w:t xml:space="preserve">2) самовольного занятия земельного участка;</w:t>
      </w:r>
    </w:p>
    <w:p>
      <w:pPr>
        <w:spacing w:after="120"/>
        <w:ind w:firstLine="709"/>
      </w:pPr>
      <w:r>
        <w:rPr>
          <w:sz w:val="24"/>
        </w:rPr>
        <w:t xml:space="preserve">3) в иных предусмотренных федеральными законами случаях.</w:t>
      </w:r>
    </w:p>
    <w:p>
      <w:pPr>
        <w:spacing w:after="120"/>
        <w:ind w:firstLine="709"/>
      </w:pPr>
      <w:r>
        <w:rPr>
          <w:sz w:val="24"/>
        </w:rPr>
        <w:t xml:space="preserve">2. Действия, нарушающие права на землю граждан и юридических лиц или создающие угрозу их нарушения, могут быть пресечены путем:</w:t>
      </w:r>
    </w:p>
    <w:p>
      <w:pPr>
        <w:spacing w:after="120"/>
        <w:ind w:firstLine="709"/>
      </w:pPr>
      <w:r>
        <w:rPr>
          <w:sz w:val="24"/>
        </w:rPr>
        <w:t xml:space="preserve">1) признания недействительными в судебном порядке в соответствии со статьей 61 настоящего Кодекса не соответствующих законодательству актов исполнительных органов государственной власти или актов органов местного самоуправления;</w:t>
      </w:r>
    </w:p>
    <w:p>
      <w:pPr>
        <w:spacing w:after="120"/>
        <w:ind w:firstLine="709"/>
      </w:pPr>
      <w:r>
        <w:rPr>
          <w:sz w:val="24"/>
        </w:rPr>
        <w:t xml:space="preserve">2) приостановления исполнения не соответствующих законодательству актов исполнительных органов государственной власти или актов органов местного самоуправления;</w:t>
      </w:r>
    </w:p>
    <w:p>
      <w:pPr>
        <w:spacing w:after="120"/>
        <w:ind w:firstLine="709"/>
      </w:pPr>
      <w:r>
        <w:rPr>
          <w:sz w:val="24"/>
        </w:rPr>
        <w:t xml:space="preserve">3) приостановления промышленного, гражданско-жилищного и другого строительства, разработки месторождений полезных ископаемых и торфа, эксплуатации объектов, проведения агрохимических, лесомелиоративных, геолого-разведочных, поисковых, геодезических и иных работ в порядке, установленном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4) восстановления положения, существовавшего до нарушения права, и пресечения действий, нарушающих право или создающих угрозу его нарушения.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60</dc:title>
  <dc:creator>АРБИТРАЖ! · arbi.ru</dc:creator>
  <cp:lastModifiedBy>АРБИТРАЖ!</cp:lastModifiedBy>
  <dcterms:created xsi:type="dcterms:W3CDTF">2026-10-23T17:55:06.638Z</dcterms:created>
</cp:coreProperties>
</file>