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64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Земельные споры рассматриваются в судебном порядке.</w:t>
      </w:r>
    </w:p>
    <w:p>
      <w:pPr>
        <w:spacing w:after="120"/>
        <w:ind w:firstLine="709"/>
      </w:pPr>
      <w:r>
        <w:rPr>
          <w:sz w:val="24"/>
        </w:rPr>
        <w:t xml:space="preserve">2. До принятия дела к производству судом земельный спор может быть передан сторонами на разрешение в третейский суд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64</dc:title>
  <dc:creator>АРБИТРАЖ! · arbi.ru</dc:creator>
  <cp:lastModifiedBy>АРБИТРАЖ!</cp:lastModifiedBy>
  <dcterms:created xsi:type="dcterms:W3CDTF">2026-10-23T21:44:04.924Z</dcterms:created>
</cp:coreProperties>
</file>