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Землями населенных пунктов признаются земли, используемые и предназначенные для застройки и развития населенных пунктов.</w:t>
      </w:r>
    </w:p>
    <w:p>
      <w:pPr>
        <w:spacing w:after="120"/>
        <w:ind w:firstLine="709"/>
      </w:pPr>
      <w:r>
        <w:rPr>
          <w:sz w:val="24"/>
        </w:rPr>
        <w:t xml:space="preserve">2. Границы городских и сельских населенных пунктов отделяют земли населенных пунктов от земель иных категорий. Границы городских и сельских населенных пунктов не могут пересекать границы муниципальных образований или выходить за их границы, а также пересекать границы земельных участков, предоставленных гражданам или юридическим лицам.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83</dc:title>
  <dc:creator>АРБИТРАЖ! · arbi.ru</dc:creator>
  <cp:lastModifiedBy>АРБИТРАЖ!</cp:lastModifiedBy>
  <dcterms:created xsi:type="dcterms:W3CDTF">2026-10-24T13:30:37.045Z</dcterms:created>
</cp:coreProperties>
</file>