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особо ценным землям относятся земли,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образования, земельные участки, предназначенные для осуществления деятельности научно-исследовательских организаций).</w:t>
      </w:r>
    </w:p>
    <w:p>
      <w:pPr>
        <w:spacing w:after="120"/>
        <w:ind w:firstLine="709"/>
      </w:pPr>
      <w:r>
        <w:rPr>
          <w:sz w:val="24"/>
        </w:rPr>
        <w:t xml:space="preserve">2. На собственников таких земельных участков, землепользователей, землевладельцев и арендаторов таких земельных участков возлагаются обязанности по их сохранению.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XVIII. Земли лесного фонда, земли водного фонда и земли запаса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100</dc:title>
  <dc:creator>АРБИТРАЖ! · arbi.ru</dc:creator>
  <cp:lastModifiedBy>АРБИТРАЖ!</cp:lastModifiedBy>
  <dcterms:created xsi:type="dcterms:W3CDTF">2026-10-24T09:44:07.073Z</dcterms:created>
</cp:coreProperties>
</file>