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102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 ЗК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постановке недвижимости на кадастровый учет</w:t>
      </w:r>
    </w:p>
    <w:p>
      <w:pPr>
        <w:spacing w:after="120"/>
        <w:ind w:firstLine="709"/>
      </w:pPr>
      <w:r>
        <w:rPr>
          <w:sz w:val="24"/>
        </w:rPr>
        <w:t xml:space="preserve">1. Землями водного фонда являются земли, на которых находятся поверхностные водные объекты.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11.06.2021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водные объекты полностью находятся в пределах земель сельскохозяйственного назначения и (или) земель других категорий, такие земли не относятся к землям водного фонда.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11.06.2021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целях строительства гидротехнических сооружений, образующих водохранилища и иные искусственные водные объекты, а также размещения водохранилищ и иных искусственных водных объектов осуществляется резервирование земель.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10.05.2007 N 69-ФЗ , от 29.09.2025 N 363-ФЗ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Порядок использования и охраны земель водного фонда определяется настоящим Кодексом и водным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102</dc:title>
  <dc:creator>АРБИТРАЖ! · arbi.ru</dc:creator>
  <cp:lastModifiedBy>АРБИТРАЖ!</cp:lastModifiedBy>
  <dcterms:created xsi:type="dcterms:W3CDTF">2026-10-24T08:01:02.024Z</dcterms:created>
</cp:coreProperties>
</file>