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защите прав потребителей, ст. 11</w:t>
      </w:r>
    </w:p>
    <w:p>
      <w:pPr>
        <w:spacing w:after="120"/>
        <w:ind w:firstLine="709"/>
      </w:pPr>
      <w:r>
        <w:rPr>
          <w:sz w:val="24"/>
        </w:rPr>
        <w:t xml:space="preserve">Акт: Закон Российской Федерации «О защите прав потребителей» № 2300-1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https://www.consultant.ru/document/cons_doc_LAW_305/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Режим работы государственных, муниципальных организаций торговли, бытового и иных видов обслуживания потребителей устанавливается по решению соответственно исполнительных органов субъектов Российской Федерации и органов местного самоуправления.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Режим работы организаций, осуществляющих деятельность в сферах торгового, бытового и иных видов обслуживания потребителей и не указанных в пункте 1 настоящей статьи, а также индивидуальных предпринимателей устанавливается ими самостоятельно.</w:t>
      </w:r>
    </w:p>
    <w:p>
      <w:pPr>
        <w:spacing w:after="120"/>
        <w:ind w:firstLine="709"/>
      </w:pPr>
      <w:r>
        <w:rPr>
          <w:sz w:val="24"/>
        </w:rPr>
        <w:t xml:space="preserve">3. Режим работы продавца (исполнителя) доводится до сведения потребителей и должен соответствовать установленному.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защите прав потребителей, ст. 11</dc:title>
  <dc:creator>АРБИТРАЖ! · arbi.ru</dc:creator>
  <cp:lastModifiedBy>АРБИТРАЖ!</cp:lastModifiedBy>
  <dcterms:created xsi:type="dcterms:W3CDTF">2026-10-24T02:37:51.966Z</dcterms:created>
</cp:coreProperties>
</file>