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22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с продавца (изготовителя) убытки, возникшие в связи с приобретением товара с недостатками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предоплату в связи с непередачей товара в срок, установленный договором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товар, в отношении которого продавец не предоставил необходимую информацию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обязать продавца уменьшить покупную цену недвижимости с недостатками и взыскать разницу в цене</w:t>
      </w:r>
    </w:p>
    <w:p>
      <w:pPr>
        <w:spacing w:after="120"/>
        <w:ind w:firstLine="709"/>
      </w:pPr>
      <w:r>
        <w:rPr>
          <w:sz w:val="24"/>
        </w:rPr>
        <w:t xml:space="preserve">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подлежит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25.10.2007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22</dc:title>
  <dc:creator>АРБИТРАЖ! · arbi.ru</dc:creator>
  <cp:lastModifiedBy>АРБИТРАЖ!</cp:lastModifiedBy>
  <dcterms:created xsi:type="dcterms:W3CDTF">2026-10-24T09:14:50.446Z</dcterms:created>
</cp:coreProperties>
</file>