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защите прав потребителей, ст. 39</w:t>
      </w:r>
    </w:p>
    <w:p>
      <w:pPr>
        <w:spacing w:after="120"/>
        <w:ind w:firstLine="709"/>
      </w:pPr>
      <w:r>
        <w:rPr>
          <w:sz w:val="24"/>
        </w:rPr>
        <w:t xml:space="preserve">Акт: Закон Российской Федерации «О защите прав потребителей» № 2300-1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https://www.consultant.ru/document/cons_doc_LAW_305/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Последствия нарушения условий договоров об оказании отдельных видов услуг, если такие договоры по своему характеру не подпадают под действие настоящей главы, определяются законом.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защите прав потребителей, ст. 39</dc:title>
  <dc:creator>АРБИТРАЖ! · arbi.ru</dc:creator>
  <cp:lastModifiedBy>АРБИТРАЖ!</cp:lastModifiedBy>
  <dcterms:created xsi:type="dcterms:W3CDTF">2026-10-24T04:23:26.939Z</dcterms:created>
</cp:coreProperties>
</file>